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EE" w:rsidRPr="00530DF1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0DF1">
        <w:rPr>
          <w:rFonts w:ascii="Arial" w:hAnsi="Arial" w:cs="Arial"/>
          <w:b/>
          <w:sz w:val="24"/>
          <w:szCs w:val="24"/>
        </w:rPr>
        <w:t>Назва модуля</w:t>
      </w:r>
      <w:r w:rsidRPr="00530D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Туристична </w:t>
      </w:r>
      <w:proofErr w:type="spellStart"/>
      <w:r>
        <w:rPr>
          <w:rFonts w:ascii="Arial" w:hAnsi="Arial" w:cs="Arial"/>
          <w:sz w:val="24"/>
          <w:szCs w:val="24"/>
        </w:rPr>
        <w:t>іміджологія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C79EE" w:rsidRPr="005432C5" w:rsidRDefault="009C79EE" w:rsidP="009C79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2C5">
        <w:rPr>
          <w:rFonts w:ascii="Arial" w:hAnsi="Arial" w:cs="Arial"/>
          <w:b/>
          <w:sz w:val="24"/>
          <w:szCs w:val="24"/>
        </w:rPr>
        <w:t>Код модуля</w:t>
      </w:r>
      <w:r w:rsidRPr="005432C5">
        <w:rPr>
          <w:rFonts w:ascii="Arial" w:hAnsi="Arial" w:cs="Arial"/>
          <w:sz w:val="24"/>
          <w:szCs w:val="24"/>
        </w:rPr>
        <w:t>: МУБ_8_ВВ1.1.07_3</w:t>
      </w:r>
    </w:p>
    <w:p w:rsidR="009C79EE" w:rsidRPr="0018097A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0DF1">
        <w:rPr>
          <w:rFonts w:ascii="Arial" w:hAnsi="Arial" w:cs="Arial"/>
          <w:b/>
          <w:sz w:val="24"/>
          <w:szCs w:val="24"/>
        </w:rPr>
        <w:t xml:space="preserve">Тип </w:t>
      </w:r>
      <w:r w:rsidRPr="0018097A">
        <w:rPr>
          <w:rFonts w:ascii="Arial" w:hAnsi="Arial" w:cs="Arial"/>
          <w:b/>
          <w:sz w:val="24"/>
          <w:szCs w:val="24"/>
        </w:rPr>
        <w:t>модуля</w:t>
      </w:r>
      <w:r>
        <w:rPr>
          <w:rFonts w:ascii="Arial" w:hAnsi="Arial" w:cs="Arial"/>
          <w:sz w:val="24"/>
          <w:szCs w:val="24"/>
        </w:rPr>
        <w:t>: вибірковий</w:t>
      </w:r>
    </w:p>
    <w:p w:rsidR="009C79EE" w:rsidRPr="0018097A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97A">
        <w:rPr>
          <w:rFonts w:ascii="Arial" w:hAnsi="Arial" w:cs="Arial"/>
          <w:b/>
          <w:sz w:val="24"/>
          <w:szCs w:val="24"/>
        </w:rPr>
        <w:t>Семестр:</w:t>
      </w:r>
      <w:r w:rsidRPr="001809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9C79EE" w:rsidRPr="0018097A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97A">
        <w:rPr>
          <w:rFonts w:ascii="Arial" w:hAnsi="Arial" w:cs="Arial"/>
          <w:b/>
          <w:sz w:val="24"/>
          <w:szCs w:val="24"/>
        </w:rPr>
        <w:t xml:space="preserve">Обсяг модуля: </w:t>
      </w:r>
      <w:r w:rsidRPr="0018097A">
        <w:rPr>
          <w:rFonts w:ascii="Arial" w:hAnsi="Arial" w:cs="Arial"/>
          <w:sz w:val="24"/>
          <w:szCs w:val="24"/>
        </w:rPr>
        <w:t xml:space="preserve">загальна кількість годин – 90 (кредитів ЄКТС – 3); аудиторні години – </w:t>
      </w:r>
      <w:r w:rsidR="00934438" w:rsidRPr="00934438">
        <w:rPr>
          <w:rFonts w:ascii="Arial" w:hAnsi="Arial" w:cs="Arial"/>
          <w:sz w:val="24"/>
          <w:szCs w:val="24"/>
          <w:lang w:val="ru-RU"/>
        </w:rPr>
        <w:t>30</w:t>
      </w:r>
      <w:r w:rsidRPr="0018097A">
        <w:rPr>
          <w:rFonts w:ascii="Arial" w:hAnsi="Arial" w:cs="Arial"/>
          <w:sz w:val="24"/>
          <w:szCs w:val="24"/>
        </w:rPr>
        <w:t xml:space="preserve"> (лекцій – 14, практичних – 16)</w:t>
      </w:r>
    </w:p>
    <w:p w:rsidR="009C79EE" w:rsidRPr="0018097A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8097A">
        <w:rPr>
          <w:rFonts w:ascii="Arial" w:hAnsi="Arial" w:cs="Arial"/>
          <w:b/>
          <w:sz w:val="24"/>
          <w:szCs w:val="24"/>
        </w:rPr>
        <w:t>Лектор:</w:t>
      </w:r>
      <w:r w:rsidRPr="0018097A">
        <w:rPr>
          <w:rFonts w:ascii="Arial" w:hAnsi="Arial" w:cs="Arial"/>
          <w:sz w:val="24"/>
          <w:szCs w:val="24"/>
        </w:rPr>
        <w:t xml:space="preserve"> </w:t>
      </w:r>
      <w:r w:rsidRPr="0018097A">
        <w:rPr>
          <w:rFonts w:ascii="Arial" w:hAnsi="Arial" w:cs="Arial"/>
          <w:sz w:val="24"/>
          <w:szCs w:val="24"/>
          <w:lang w:val="ru-RU"/>
        </w:rPr>
        <w:t xml:space="preserve">Король </w:t>
      </w:r>
      <w:proofErr w:type="spellStart"/>
      <w:r w:rsidRPr="0018097A">
        <w:rPr>
          <w:rFonts w:ascii="Arial" w:hAnsi="Arial" w:cs="Arial"/>
          <w:sz w:val="24"/>
          <w:szCs w:val="24"/>
          <w:lang w:val="ru-RU"/>
        </w:rPr>
        <w:t>Інна</w:t>
      </w:r>
      <w:proofErr w:type="spellEnd"/>
      <w:r w:rsidRPr="001809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18097A">
        <w:rPr>
          <w:rFonts w:ascii="Arial" w:hAnsi="Arial" w:cs="Arial"/>
          <w:sz w:val="24"/>
          <w:szCs w:val="24"/>
          <w:lang w:val="ru-RU"/>
        </w:rPr>
        <w:t>Володимирівна</w:t>
      </w:r>
      <w:proofErr w:type="spellEnd"/>
      <w:r>
        <w:rPr>
          <w:rFonts w:ascii="Arial" w:hAnsi="Arial" w:cs="Arial"/>
          <w:sz w:val="24"/>
          <w:szCs w:val="24"/>
          <w:lang w:val="ru-RU"/>
        </w:rPr>
        <w:t>, к.е.н., доцент</w:t>
      </w:r>
    </w:p>
    <w:p w:rsidR="009C79EE" w:rsidRPr="0018097A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8097A">
        <w:rPr>
          <w:rFonts w:ascii="Arial" w:hAnsi="Arial" w:cs="Arial"/>
          <w:b/>
          <w:sz w:val="24"/>
          <w:szCs w:val="24"/>
        </w:rPr>
        <w:t>Результати навчання:</w:t>
      </w:r>
    </w:p>
    <w:p w:rsidR="009C79EE" w:rsidRPr="0018097A" w:rsidRDefault="009C79EE" w:rsidP="009C79E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97A">
        <w:rPr>
          <w:rFonts w:ascii="Arial" w:hAnsi="Arial" w:cs="Arial"/>
          <w:sz w:val="24"/>
          <w:szCs w:val="24"/>
        </w:rPr>
        <w:t xml:space="preserve">У результаті вивчення модуля студент </w:t>
      </w:r>
      <w:r w:rsidRPr="0018097A">
        <w:rPr>
          <w:rFonts w:ascii="Arial" w:hAnsi="Arial" w:cs="Arial"/>
          <w:b/>
          <w:sz w:val="24"/>
          <w:szCs w:val="24"/>
        </w:rPr>
        <w:t>повинен:</w:t>
      </w:r>
    </w:p>
    <w:p w:rsidR="009C79EE" w:rsidRPr="0018097A" w:rsidRDefault="009C79EE" w:rsidP="009C79E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97A">
        <w:rPr>
          <w:rFonts w:ascii="Arial" w:hAnsi="Arial" w:cs="Arial"/>
          <w:b/>
          <w:sz w:val="24"/>
          <w:szCs w:val="24"/>
        </w:rPr>
        <w:t>знати:</w:t>
      </w:r>
      <w:r w:rsidRPr="0018097A">
        <w:rPr>
          <w:rFonts w:ascii="Arial" w:hAnsi="Arial" w:cs="Arial"/>
          <w:sz w:val="24"/>
          <w:szCs w:val="24"/>
        </w:rPr>
        <w:t xml:space="preserve"> </w:t>
      </w:r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t>визнач</w:t>
      </w:r>
      <w:r>
        <w:rPr>
          <w:rFonts w:ascii="Arial" w:hAnsi="Arial" w:cs="Arial"/>
          <w:color w:val="000000"/>
          <w:sz w:val="24"/>
          <w:szCs w:val="24"/>
          <w:lang w:eastAsia="uk-UA"/>
        </w:rPr>
        <w:t xml:space="preserve">ення і сутність понять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uk-UA"/>
        </w:rPr>
        <w:t>“імідж”</w:t>
      </w:r>
      <w:proofErr w:type="spellEnd"/>
      <w:r w:rsidRPr="004F190B">
        <w:rPr>
          <w:rFonts w:ascii="Arial" w:hAnsi="Arial" w:cs="Arial"/>
          <w:color w:val="000000"/>
          <w:sz w:val="24"/>
          <w:szCs w:val="24"/>
          <w:lang w:eastAsia="uk-UA"/>
        </w:rPr>
        <w:t>,</w:t>
      </w:r>
      <w:r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 w:eastAsia="uk-UA"/>
        </w:rPr>
        <w:t>PR</w:t>
      </w:r>
      <w:r w:rsidRPr="004F190B">
        <w:rPr>
          <w:rFonts w:ascii="Arial" w:hAnsi="Arial" w:cs="Arial"/>
          <w:color w:val="000000"/>
          <w:sz w:val="24"/>
          <w:szCs w:val="24"/>
          <w:lang w:eastAsia="uk-UA"/>
        </w:rPr>
        <w:t xml:space="preserve">; </w:t>
      </w:r>
      <w:r>
        <w:rPr>
          <w:rFonts w:ascii="Arial" w:hAnsi="Arial" w:cs="Arial"/>
          <w:color w:val="000000"/>
          <w:sz w:val="24"/>
          <w:szCs w:val="24"/>
          <w:lang w:eastAsia="uk-UA"/>
        </w:rPr>
        <w:t xml:space="preserve">основні інструменти </w:t>
      </w:r>
      <w:proofErr w:type="spellStart"/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t>паблік</w:t>
      </w:r>
      <w:proofErr w:type="spellEnd"/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t>рилейшнз</w:t>
      </w:r>
      <w:proofErr w:type="spellEnd"/>
      <w:r>
        <w:rPr>
          <w:rFonts w:ascii="Arial" w:hAnsi="Arial" w:cs="Arial"/>
          <w:color w:val="000000"/>
          <w:sz w:val="24"/>
          <w:szCs w:val="24"/>
          <w:lang w:eastAsia="uk-UA"/>
        </w:rPr>
        <w:t xml:space="preserve"> для створення позитивного імі</w:t>
      </w:r>
      <w:r w:rsidRPr="004F190B">
        <w:rPr>
          <w:rFonts w:ascii="Arial" w:hAnsi="Arial" w:cs="Arial"/>
          <w:color w:val="000000"/>
          <w:sz w:val="24"/>
          <w:szCs w:val="24"/>
          <w:lang w:eastAsia="uk-UA"/>
        </w:rPr>
        <w:t>джу</w:t>
      </w:r>
      <w:r>
        <w:rPr>
          <w:rFonts w:ascii="Arial" w:hAnsi="Arial" w:cs="Arial"/>
          <w:color w:val="000000"/>
          <w:sz w:val="24"/>
          <w:szCs w:val="24"/>
          <w:lang w:eastAsia="uk-UA"/>
        </w:rPr>
        <w:t>;</w:t>
      </w:r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t xml:space="preserve"> основні аспекти використання існуючих знако</w:t>
      </w:r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softHyphen/>
        <w:t>вих сис</w:t>
      </w:r>
      <w:r>
        <w:rPr>
          <w:rFonts w:ascii="Arial" w:hAnsi="Arial" w:cs="Arial"/>
          <w:color w:val="000000"/>
          <w:sz w:val="24"/>
          <w:szCs w:val="24"/>
          <w:lang w:eastAsia="uk-UA"/>
        </w:rPr>
        <w:t xml:space="preserve">тем у створенні іміджу </w:t>
      </w:r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t xml:space="preserve">організацій у </w:t>
      </w:r>
      <w:r>
        <w:rPr>
          <w:rFonts w:ascii="Arial" w:hAnsi="Arial" w:cs="Arial"/>
          <w:color w:val="000000"/>
          <w:sz w:val="24"/>
          <w:szCs w:val="24"/>
          <w:lang w:eastAsia="uk-UA"/>
        </w:rPr>
        <w:t xml:space="preserve">сфері </w:t>
      </w:r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t>ту</w:t>
      </w:r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softHyphen/>
        <w:t>ризм</w:t>
      </w:r>
      <w:r>
        <w:rPr>
          <w:rFonts w:ascii="Arial" w:hAnsi="Arial" w:cs="Arial"/>
          <w:color w:val="000000"/>
          <w:sz w:val="24"/>
          <w:szCs w:val="24"/>
          <w:lang w:eastAsia="uk-UA"/>
        </w:rPr>
        <w:t>у;</w:t>
      </w:r>
    </w:p>
    <w:p w:rsidR="009C79EE" w:rsidRPr="0018097A" w:rsidRDefault="009C79EE" w:rsidP="009C79E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97A">
        <w:rPr>
          <w:rFonts w:ascii="Arial" w:hAnsi="Arial" w:cs="Arial"/>
          <w:b/>
          <w:sz w:val="24"/>
          <w:szCs w:val="24"/>
        </w:rPr>
        <w:t>уміти:</w:t>
      </w:r>
      <w:r w:rsidRPr="0018097A">
        <w:rPr>
          <w:rFonts w:ascii="Arial" w:hAnsi="Arial" w:cs="Arial"/>
          <w:sz w:val="24"/>
          <w:szCs w:val="24"/>
        </w:rPr>
        <w:t xml:space="preserve"> </w:t>
      </w:r>
      <w:r w:rsidRPr="0018097A">
        <w:rPr>
          <w:rFonts w:ascii="Arial" w:hAnsi="Arial" w:cs="Arial"/>
          <w:color w:val="000000"/>
          <w:sz w:val="24"/>
          <w:szCs w:val="24"/>
          <w:lang w:eastAsia="uk-UA"/>
        </w:rPr>
        <w:t xml:space="preserve">розробити фірмовий стиль </w:t>
      </w:r>
      <w:r w:rsidRPr="0018097A">
        <w:rPr>
          <w:rFonts w:ascii="Arial" w:hAnsi="Arial" w:cs="Arial"/>
          <w:sz w:val="24"/>
          <w:szCs w:val="24"/>
          <w:lang w:eastAsia="uk-UA"/>
        </w:rPr>
        <w:t>організації туристичної сфери.</w:t>
      </w:r>
    </w:p>
    <w:p w:rsidR="009C79EE" w:rsidRPr="0094154C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8097A">
        <w:rPr>
          <w:rFonts w:ascii="Arial" w:hAnsi="Arial" w:cs="Arial"/>
          <w:b/>
          <w:sz w:val="24"/>
          <w:szCs w:val="24"/>
        </w:rPr>
        <w:t xml:space="preserve">Спосіб навчання: </w:t>
      </w:r>
      <w:r w:rsidRPr="0018097A">
        <w:rPr>
          <w:rFonts w:ascii="Arial" w:hAnsi="Arial" w:cs="Arial"/>
          <w:sz w:val="24"/>
          <w:szCs w:val="24"/>
        </w:rPr>
        <w:t>аудиторні заняття</w:t>
      </w:r>
    </w:p>
    <w:p w:rsidR="009C79EE" w:rsidRPr="0094154C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4154C">
        <w:rPr>
          <w:rFonts w:ascii="Arial" w:hAnsi="Arial" w:cs="Arial"/>
          <w:b/>
          <w:sz w:val="24"/>
          <w:szCs w:val="24"/>
        </w:rPr>
        <w:t>Необхідні попередні та супутні модулі:</w:t>
      </w:r>
    </w:p>
    <w:p w:rsidR="009C79EE" w:rsidRPr="008F34F9" w:rsidRDefault="009C79EE" w:rsidP="009C7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94154C">
        <w:rPr>
          <w:rFonts w:ascii="Arial" w:hAnsi="Arial" w:cs="Arial"/>
          <w:b/>
          <w:sz w:val="24"/>
          <w:szCs w:val="24"/>
        </w:rPr>
        <w:t>пререквізити</w:t>
      </w:r>
      <w:proofErr w:type="spellEnd"/>
      <w:r w:rsidRPr="0094154C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«М</w:t>
      </w:r>
      <w:proofErr w:type="spellStart"/>
      <w:r w:rsidRPr="0018097A">
        <w:rPr>
          <w:rFonts w:ascii="Arial" w:hAnsi="Arial" w:cs="Arial"/>
          <w:sz w:val="24"/>
          <w:szCs w:val="24"/>
        </w:rPr>
        <w:t>аркетинг</w:t>
      </w:r>
      <w:proofErr w:type="spellEnd"/>
      <w:r>
        <w:rPr>
          <w:rFonts w:ascii="Arial" w:hAnsi="Arial" w:cs="Arial"/>
          <w:sz w:val="24"/>
          <w:szCs w:val="24"/>
          <w:lang w:val="ru-RU"/>
        </w:rPr>
        <w:t>»;</w:t>
      </w:r>
    </w:p>
    <w:p w:rsidR="009C79EE" w:rsidRPr="000E3EF2" w:rsidRDefault="009C79EE" w:rsidP="009C7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94154C">
        <w:rPr>
          <w:rFonts w:ascii="Arial" w:hAnsi="Arial" w:cs="Arial"/>
          <w:b/>
          <w:sz w:val="24"/>
          <w:szCs w:val="24"/>
        </w:rPr>
        <w:t>кореквізити</w:t>
      </w:r>
      <w:proofErr w:type="spellEnd"/>
      <w:r w:rsidRPr="0094154C">
        <w:rPr>
          <w:rFonts w:ascii="Arial" w:hAnsi="Arial" w:cs="Arial"/>
          <w:b/>
          <w:sz w:val="24"/>
          <w:szCs w:val="24"/>
        </w:rPr>
        <w:t xml:space="preserve">: </w:t>
      </w:r>
      <w:r w:rsidRPr="008F34F9">
        <w:rPr>
          <w:rFonts w:ascii="Arial" w:hAnsi="Arial" w:cs="Arial"/>
          <w:sz w:val="24"/>
          <w:szCs w:val="24"/>
          <w:lang w:val="ru-RU"/>
        </w:rPr>
        <w:t>«Т</w:t>
      </w:r>
      <w:proofErr w:type="spellStart"/>
      <w:r>
        <w:rPr>
          <w:rFonts w:ascii="Arial" w:hAnsi="Arial" w:cs="Arial"/>
          <w:sz w:val="24"/>
          <w:szCs w:val="24"/>
        </w:rPr>
        <w:t>уристична</w:t>
      </w:r>
      <w:proofErr w:type="spellEnd"/>
      <w:r>
        <w:rPr>
          <w:rFonts w:ascii="Arial" w:hAnsi="Arial" w:cs="Arial"/>
          <w:sz w:val="24"/>
          <w:szCs w:val="24"/>
        </w:rPr>
        <w:t xml:space="preserve"> політика зарубіжних країн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0E3EF2" w:rsidRPr="000E3EF2">
        <w:rPr>
          <w:rFonts w:ascii="Arial" w:hAnsi="Arial" w:cs="Arial"/>
          <w:sz w:val="24"/>
          <w:szCs w:val="24"/>
          <w:lang w:val="ru-RU"/>
        </w:rPr>
        <w:t>.</w:t>
      </w:r>
    </w:p>
    <w:p w:rsidR="009C79EE" w:rsidRPr="0094154C" w:rsidRDefault="009C79EE" w:rsidP="009C7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154C">
        <w:rPr>
          <w:rFonts w:ascii="Arial" w:hAnsi="Arial" w:cs="Arial"/>
          <w:b/>
          <w:sz w:val="24"/>
          <w:szCs w:val="24"/>
        </w:rPr>
        <w:t xml:space="preserve">Зміст модуля: </w:t>
      </w:r>
    </w:p>
    <w:p w:rsidR="009C79EE" w:rsidRPr="0064243F" w:rsidRDefault="009C79EE" w:rsidP="009C79EE">
      <w:pPr>
        <w:pStyle w:val="a3"/>
        <w:spacing w:after="0" w:line="240" w:lineRule="auto"/>
        <w:ind w:left="0" w:firstLine="709"/>
        <w:jc w:val="both"/>
        <w:rPr>
          <w:rStyle w:val="3"/>
          <w:b w:val="0"/>
          <w:bCs w:val="0"/>
          <w:sz w:val="24"/>
          <w:szCs w:val="24"/>
        </w:rPr>
      </w:pPr>
      <w:r w:rsidRPr="0064243F">
        <w:rPr>
          <w:rFonts w:ascii="Arial" w:hAnsi="Arial" w:cs="Arial"/>
          <w:sz w:val="24"/>
          <w:szCs w:val="24"/>
        </w:rPr>
        <w:t xml:space="preserve">Поняття іміджу. Прикладна та загальна </w:t>
      </w:r>
      <w:proofErr w:type="spellStart"/>
      <w:r w:rsidRPr="0064243F">
        <w:rPr>
          <w:rFonts w:ascii="Arial" w:hAnsi="Arial" w:cs="Arial"/>
          <w:sz w:val="24"/>
          <w:szCs w:val="24"/>
        </w:rPr>
        <w:t>іміджологія</w:t>
      </w:r>
      <w:proofErr w:type="spellEnd"/>
      <w:r w:rsidRPr="0064243F">
        <w:rPr>
          <w:rFonts w:ascii="Arial" w:hAnsi="Arial" w:cs="Arial"/>
          <w:sz w:val="24"/>
          <w:szCs w:val="24"/>
        </w:rPr>
        <w:t xml:space="preserve">. Види іміджу. Складові іміджу підприємств сфери туристичного обслуговування. Суть </w:t>
      </w:r>
      <w:proofErr w:type="spellStart"/>
      <w:r w:rsidRPr="0064243F">
        <w:rPr>
          <w:rFonts w:ascii="Arial" w:hAnsi="Arial" w:cs="Arial"/>
          <w:sz w:val="24"/>
          <w:szCs w:val="24"/>
        </w:rPr>
        <w:t>брендингу</w:t>
      </w:r>
      <w:proofErr w:type="spellEnd"/>
      <w:r w:rsidRPr="0064243F">
        <w:rPr>
          <w:rFonts w:ascii="Arial" w:hAnsi="Arial" w:cs="Arial"/>
          <w:sz w:val="24"/>
          <w:szCs w:val="24"/>
        </w:rPr>
        <w:t xml:space="preserve"> туристичних компаній. Сприйняття туристичного бренду покупцями. Технологія створення туристичного бренду. </w:t>
      </w:r>
      <w:proofErr w:type="spellStart"/>
      <w:r w:rsidRPr="0064243F">
        <w:rPr>
          <w:rFonts w:ascii="Arial" w:hAnsi="Arial" w:cs="Arial"/>
          <w:sz w:val="24"/>
          <w:szCs w:val="24"/>
        </w:rPr>
        <w:t>Позиціювання</w:t>
      </w:r>
      <w:proofErr w:type="spellEnd"/>
      <w:r w:rsidRPr="0064243F">
        <w:rPr>
          <w:rFonts w:ascii="Arial" w:hAnsi="Arial" w:cs="Arial"/>
          <w:sz w:val="24"/>
          <w:szCs w:val="24"/>
        </w:rPr>
        <w:t xml:space="preserve"> туристичного бренду. Процес маркетингових комунікацій. Вибір комплексу просування. Види маркетингових комунікацій: переваги і недоліки. Сучасні маркетингові комунікації в туризмі. Поняття </w:t>
      </w:r>
      <w:r w:rsidRPr="0064243F">
        <w:rPr>
          <w:rFonts w:ascii="Arial" w:hAnsi="Arial" w:cs="Arial"/>
          <w:sz w:val="24"/>
          <w:szCs w:val="24"/>
          <w:lang w:val="en-US"/>
        </w:rPr>
        <w:t>PR</w:t>
      </w:r>
      <w:r w:rsidRPr="0064243F">
        <w:rPr>
          <w:rFonts w:ascii="Arial" w:hAnsi="Arial" w:cs="Arial"/>
          <w:sz w:val="24"/>
          <w:szCs w:val="24"/>
        </w:rPr>
        <w:t xml:space="preserve"> та його особливості. Типи та інструменти </w:t>
      </w:r>
      <w:r w:rsidRPr="0064243F">
        <w:rPr>
          <w:rFonts w:ascii="Arial" w:hAnsi="Arial" w:cs="Arial"/>
          <w:sz w:val="24"/>
          <w:szCs w:val="24"/>
          <w:lang w:val="en-US"/>
        </w:rPr>
        <w:t>PR</w:t>
      </w:r>
      <w:r w:rsidRPr="0064243F">
        <w:rPr>
          <w:rFonts w:ascii="Arial" w:hAnsi="Arial" w:cs="Arial"/>
          <w:sz w:val="24"/>
          <w:szCs w:val="24"/>
        </w:rPr>
        <w:t>. Особливості підготовки ознайомчих турів. Виставкова діяльність і маркетингові комунікації. Планування виставкової діяльності. Комунікативна виставкова діяльність. Суть спонсорства. Методи комун</w:t>
      </w:r>
      <w:bookmarkStart w:id="0" w:name="bookmark49"/>
      <w:r w:rsidRPr="0064243F">
        <w:rPr>
          <w:rFonts w:ascii="Arial" w:hAnsi="Arial" w:cs="Arial"/>
          <w:sz w:val="24"/>
          <w:szCs w:val="24"/>
        </w:rPr>
        <w:t xml:space="preserve">ікативної підтримки спонсорства. </w:t>
      </w:r>
      <w:r w:rsidRPr="0064243F">
        <w:rPr>
          <w:rStyle w:val="3"/>
          <w:b w:val="0"/>
          <w:bCs w:val="0"/>
          <w:color w:val="000000"/>
          <w:sz w:val="24"/>
          <w:szCs w:val="24"/>
          <w:lang w:eastAsia="uk-UA"/>
        </w:rPr>
        <w:t xml:space="preserve">Оцінювання ефективності </w:t>
      </w:r>
      <w:bookmarkStart w:id="1" w:name="bookmark50"/>
      <w:bookmarkEnd w:id="0"/>
      <w:r w:rsidRPr="0064243F">
        <w:rPr>
          <w:rFonts w:ascii="Arial" w:hAnsi="Arial" w:cs="Arial"/>
          <w:bCs/>
          <w:color w:val="000000"/>
          <w:spacing w:val="1"/>
          <w:sz w:val="24"/>
          <w:szCs w:val="24"/>
          <w:lang w:val="en-US"/>
        </w:rPr>
        <w:t>PR</w:t>
      </w:r>
      <w:r w:rsidRPr="0064243F">
        <w:rPr>
          <w:rFonts w:ascii="Arial" w:hAnsi="Arial" w:cs="Arial"/>
          <w:bCs/>
          <w:color w:val="000000"/>
          <w:spacing w:val="1"/>
          <w:sz w:val="24"/>
          <w:szCs w:val="24"/>
        </w:rPr>
        <w:t>-заходів.</w:t>
      </w:r>
      <w:r w:rsidRPr="0064243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4243F">
        <w:rPr>
          <w:rStyle w:val="3"/>
          <w:b w:val="0"/>
          <w:bCs w:val="0"/>
          <w:color w:val="000000"/>
          <w:sz w:val="24"/>
          <w:szCs w:val="24"/>
          <w:lang w:eastAsia="uk-UA"/>
        </w:rPr>
        <w:t>Оцінювання ефективності застосування інших видів комунікації</w:t>
      </w:r>
      <w:bookmarkEnd w:id="1"/>
      <w:r w:rsidRPr="0064243F">
        <w:rPr>
          <w:rStyle w:val="3"/>
          <w:b w:val="0"/>
          <w:bCs w:val="0"/>
          <w:color w:val="000000"/>
          <w:sz w:val="24"/>
          <w:szCs w:val="24"/>
          <w:lang w:eastAsia="uk-UA"/>
        </w:rPr>
        <w:t>.</w:t>
      </w:r>
    </w:p>
    <w:p w:rsidR="009C79EE" w:rsidRPr="0094154C" w:rsidRDefault="009C79EE" w:rsidP="009C79E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154C">
        <w:rPr>
          <w:rFonts w:ascii="Arial" w:hAnsi="Arial" w:cs="Arial"/>
          <w:b/>
          <w:color w:val="000000"/>
          <w:sz w:val="24"/>
          <w:szCs w:val="24"/>
        </w:rPr>
        <w:t xml:space="preserve">11. </w:t>
      </w:r>
      <w:r w:rsidRPr="0094154C">
        <w:rPr>
          <w:rFonts w:ascii="Arial" w:hAnsi="Arial" w:cs="Arial"/>
          <w:b/>
          <w:sz w:val="24"/>
          <w:szCs w:val="24"/>
        </w:rPr>
        <w:t>Рекомендована література:</w:t>
      </w:r>
    </w:p>
    <w:p w:rsidR="009C79EE" w:rsidRPr="0064243F" w:rsidRDefault="009C79EE" w:rsidP="009C79EE">
      <w:pPr>
        <w:pStyle w:val="a3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4243F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2" w:name="_GoBack"/>
      <w:bookmarkEnd w:id="2"/>
      <w:r w:rsidRPr="0064243F">
        <w:rPr>
          <w:rFonts w:ascii="Arial" w:hAnsi="Arial" w:cs="Arial"/>
          <w:bCs/>
          <w:sz w:val="24"/>
          <w:szCs w:val="24"/>
        </w:rPr>
        <w:t xml:space="preserve">Лук'янов В.О. Маркетинг туристичного бізнесу: Навчальний посібник/ Лук'янов В.О., </w:t>
      </w:r>
      <w:proofErr w:type="spellStart"/>
      <w:r w:rsidRPr="0064243F">
        <w:rPr>
          <w:rFonts w:ascii="Arial" w:hAnsi="Arial" w:cs="Arial"/>
          <w:bCs/>
          <w:sz w:val="24"/>
          <w:szCs w:val="24"/>
        </w:rPr>
        <w:t>Мунін</w:t>
      </w:r>
      <w:proofErr w:type="spellEnd"/>
      <w:r w:rsidRPr="0064243F">
        <w:rPr>
          <w:rFonts w:ascii="Arial" w:hAnsi="Arial" w:cs="Arial"/>
          <w:bCs/>
          <w:sz w:val="24"/>
          <w:szCs w:val="24"/>
        </w:rPr>
        <w:t xml:space="preserve"> Г.Б. / Друге видання, перероблене і доповнене. </w:t>
      </w:r>
      <w:r w:rsidRPr="0064243F">
        <w:rPr>
          <w:rFonts w:ascii="Arial" w:hAnsi="Arial" w:cs="Arial"/>
          <w:color w:val="000000"/>
          <w:spacing w:val="1"/>
          <w:sz w:val="24"/>
          <w:szCs w:val="24"/>
        </w:rPr>
        <w:t xml:space="preserve"> – К.: Кондор-Видавництво, 2012.  – 336 с.</w:t>
      </w:r>
    </w:p>
    <w:p w:rsidR="009C79EE" w:rsidRPr="0064243F" w:rsidRDefault="009C79EE" w:rsidP="009C79E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4243F">
        <w:rPr>
          <w:rFonts w:ascii="Arial" w:hAnsi="Arial" w:cs="Arial"/>
          <w:bCs/>
          <w:sz w:val="24"/>
          <w:szCs w:val="24"/>
        </w:rPr>
        <w:t>Холловей</w:t>
      </w:r>
      <w:proofErr w:type="spellEnd"/>
      <w:r w:rsidRPr="0064243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4243F">
        <w:rPr>
          <w:rFonts w:ascii="Arial" w:hAnsi="Arial" w:cs="Arial"/>
          <w:bCs/>
          <w:sz w:val="24"/>
          <w:szCs w:val="24"/>
        </w:rPr>
        <w:t>Дж.К</w:t>
      </w:r>
      <w:proofErr w:type="spellEnd"/>
      <w:r w:rsidRPr="0064243F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64243F">
        <w:rPr>
          <w:rFonts w:ascii="Arial" w:hAnsi="Arial" w:cs="Arial"/>
          <w:bCs/>
          <w:sz w:val="24"/>
          <w:szCs w:val="24"/>
        </w:rPr>
        <w:t>Туристический</w:t>
      </w:r>
      <w:proofErr w:type="spellEnd"/>
      <w:r w:rsidRPr="0064243F">
        <w:rPr>
          <w:rFonts w:ascii="Arial" w:hAnsi="Arial" w:cs="Arial"/>
          <w:bCs/>
          <w:sz w:val="24"/>
          <w:szCs w:val="24"/>
        </w:rPr>
        <w:t xml:space="preserve"> маркетинг: пер. с 4-го англ. </w:t>
      </w:r>
      <w:proofErr w:type="spellStart"/>
      <w:r w:rsidRPr="0064243F">
        <w:rPr>
          <w:rFonts w:ascii="Arial" w:hAnsi="Arial" w:cs="Arial"/>
          <w:bCs/>
          <w:sz w:val="24"/>
          <w:szCs w:val="24"/>
        </w:rPr>
        <w:t>из</w:t>
      </w:r>
      <w:r>
        <w:rPr>
          <w:rFonts w:ascii="Arial" w:hAnsi="Arial" w:cs="Arial"/>
          <w:bCs/>
          <w:sz w:val="24"/>
          <w:szCs w:val="24"/>
        </w:rPr>
        <w:t>д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./ </w:t>
      </w:r>
      <w:proofErr w:type="spellStart"/>
      <w:r>
        <w:rPr>
          <w:rFonts w:ascii="Arial" w:hAnsi="Arial" w:cs="Arial"/>
          <w:bCs/>
          <w:sz w:val="24"/>
          <w:szCs w:val="24"/>
        </w:rPr>
        <w:t>Дж.К</w:t>
      </w:r>
      <w:proofErr w:type="spellEnd"/>
      <w:r>
        <w:rPr>
          <w:rFonts w:ascii="Arial" w:hAnsi="Arial" w:cs="Arial"/>
          <w:bCs/>
          <w:sz w:val="24"/>
          <w:szCs w:val="24"/>
        </w:rPr>
        <w:t>. </w:t>
      </w:r>
      <w:proofErr w:type="spellStart"/>
      <w:r w:rsidRPr="0064243F">
        <w:rPr>
          <w:rFonts w:ascii="Arial" w:hAnsi="Arial" w:cs="Arial"/>
          <w:bCs/>
          <w:sz w:val="24"/>
          <w:szCs w:val="24"/>
        </w:rPr>
        <w:t>Холловей</w:t>
      </w:r>
      <w:proofErr w:type="spellEnd"/>
      <w:r w:rsidRPr="0064243F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. –К.: Знання, 2008. </w:t>
      </w:r>
      <w:r w:rsidRPr="0064243F">
        <w:rPr>
          <w:rFonts w:ascii="Arial" w:hAnsi="Arial" w:cs="Arial"/>
          <w:color w:val="000000"/>
          <w:spacing w:val="1"/>
          <w:sz w:val="24"/>
          <w:szCs w:val="24"/>
        </w:rPr>
        <w:t xml:space="preserve"> – 575</w:t>
      </w:r>
      <w:r>
        <w:rPr>
          <w:rFonts w:ascii="Arial" w:hAnsi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64243F">
        <w:rPr>
          <w:rFonts w:ascii="Arial" w:hAnsi="Arial" w:cs="Arial"/>
          <w:color w:val="000000"/>
          <w:spacing w:val="1"/>
          <w:sz w:val="24"/>
          <w:szCs w:val="24"/>
        </w:rPr>
        <w:t>с.</w:t>
      </w:r>
    </w:p>
    <w:p w:rsidR="009C79EE" w:rsidRPr="0064243F" w:rsidRDefault="009C79EE" w:rsidP="009C79EE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proofErr w:type="spellStart"/>
      <w:r w:rsidRPr="0064243F">
        <w:rPr>
          <w:rFonts w:ascii="Arial" w:hAnsi="Arial" w:cs="Arial"/>
          <w:color w:val="000000"/>
          <w:spacing w:val="1"/>
          <w:sz w:val="24"/>
          <w:szCs w:val="24"/>
        </w:rPr>
        <w:t>Лукянець</w:t>
      </w:r>
      <w:proofErr w:type="spellEnd"/>
      <w:r w:rsidRPr="0064243F">
        <w:rPr>
          <w:rFonts w:ascii="Arial" w:hAnsi="Arial" w:cs="Arial"/>
          <w:color w:val="000000"/>
          <w:spacing w:val="1"/>
          <w:sz w:val="24"/>
          <w:szCs w:val="24"/>
        </w:rPr>
        <w:t xml:space="preserve"> Т.І. Маркетингова політика комунікацій: </w:t>
      </w:r>
      <w:proofErr w:type="spellStart"/>
      <w:r w:rsidRPr="0064243F">
        <w:rPr>
          <w:rFonts w:ascii="Arial" w:hAnsi="Arial" w:cs="Arial"/>
          <w:color w:val="000000"/>
          <w:spacing w:val="1"/>
          <w:sz w:val="24"/>
          <w:szCs w:val="24"/>
        </w:rPr>
        <w:t>Нач.посіб</w:t>
      </w:r>
      <w:proofErr w:type="spellEnd"/>
      <w:r w:rsidRPr="0064243F">
        <w:rPr>
          <w:rFonts w:ascii="Arial" w:hAnsi="Arial" w:cs="Arial"/>
          <w:color w:val="000000"/>
          <w:spacing w:val="1"/>
          <w:sz w:val="24"/>
          <w:szCs w:val="24"/>
        </w:rPr>
        <w:t>. – К.: КНЕУ, 2000. – 380 с.</w:t>
      </w:r>
    </w:p>
    <w:p w:rsidR="009C79EE" w:rsidRPr="0064243F" w:rsidRDefault="009C79EE" w:rsidP="009C79EE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8"/>
          <w:sz w:val="24"/>
          <w:szCs w:val="24"/>
        </w:rPr>
      </w:pPr>
      <w:r w:rsidRPr="0064243F">
        <w:rPr>
          <w:rFonts w:ascii="Arial" w:hAnsi="Arial" w:cs="Arial"/>
          <w:color w:val="000000"/>
          <w:spacing w:val="-1"/>
          <w:sz w:val="24"/>
          <w:szCs w:val="24"/>
        </w:rPr>
        <w:t>Діброва Т.Г. Маркетингова політика комунікацій: стратегія, вітчизняна практика. - Кондор, 2009. – 320 с.</w:t>
      </w:r>
    </w:p>
    <w:p w:rsidR="009C79EE" w:rsidRPr="0064243F" w:rsidRDefault="009C79EE" w:rsidP="009C79EE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64243F">
        <w:rPr>
          <w:rFonts w:ascii="Arial" w:hAnsi="Arial" w:cs="Arial"/>
          <w:color w:val="000000"/>
          <w:spacing w:val="-1"/>
          <w:sz w:val="24"/>
          <w:szCs w:val="24"/>
        </w:rPr>
        <w:t>Братко О.С. Маркетингова політика комунікацій. Тернопіль: Карт-Бланш, 2006. – 275 с</w:t>
      </w:r>
      <w:r w:rsidRPr="0064243F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9C79EE" w:rsidRPr="0094154C" w:rsidRDefault="009C79EE" w:rsidP="009C79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154C">
        <w:rPr>
          <w:rFonts w:ascii="Arial" w:hAnsi="Arial" w:cs="Arial"/>
          <w:b/>
          <w:color w:val="000000"/>
          <w:sz w:val="24"/>
          <w:szCs w:val="24"/>
        </w:rPr>
        <w:t>12.</w:t>
      </w:r>
      <w:r w:rsidRPr="009415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154C">
        <w:rPr>
          <w:rFonts w:ascii="Arial" w:hAnsi="Arial" w:cs="Arial"/>
          <w:b/>
          <w:sz w:val="24"/>
          <w:szCs w:val="24"/>
        </w:rPr>
        <w:t xml:space="preserve">Форми та методи навчання: </w:t>
      </w:r>
      <w:r w:rsidRPr="0094154C">
        <w:rPr>
          <w:rFonts w:ascii="Arial" w:hAnsi="Arial" w:cs="Arial"/>
          <w:sz w:val="24"/>
          <w:szCs w:val="24"/>
        </w:rPr>
        <w:t>лекції,</w:t>
      </w:r>
      <w:r w:rsidRPr="0094154C">
        <w:rPr>
          <w:rFonts w:ascii="Arial" w:hAnsi="Arial" w:cs="Arial"/>
          <w:b/>
          <w:sz w:val="24"/>
          <w:szCs w:val="24"/>
        </w:rPr>
        <w:t xml:space="preserve"> </w:t>
      </w:r>
      <w:r w:rsidRPr="0094154C">
        <w:rPr>
          <w:rFonts w:ascii="Arial" w:hAnsi="Arial" w:cs="Arial"/>
          <w:sz w:val="24"/>
          <w:szCs w:val="24"/>
        </w:rPr>
        <w:t>практичні заняття, самостійна робота.</w:t>
      </w:r>
    </w:p>
    <w:p w:rsidR="009C79EE" w:rsidRPr="0094154C" w:rsidRDefault="009C79EE" w:rsidP="009C79E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4154C">
        <w:rPr>
          <w:rFonts w:ascii="Arial" w:hAnsi="Arial" w:cs="Arial"/>
          <w:b/>
          <w:sz w:val="24"/>
          <w:szCs w:val="24"/>
        </w:rPr>
        <w:t>13. Методи і критерії оцінювання:</w:t>
      </w:r>
    </w:p>
    <w:p w:rsidR="009C79EE" w:rsidRPr="0094154C" w:rsidRDefault="009C79EE" w:rsidP="009C79E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154C">
        <w:rPr>
          <w:rFonts w:ascii="Arial" w:hAnsi="Arial" w:cs="Arial"/>
          <w:sz w:val="24"/>
          <w:szCs w:val="24"/>
        </w:rPr>
        <w:t>– Поточний контроль</w:t>
      </w:r>
      <w:r w:rsidRPr="009415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8</w:t>
      </w:r>
      <w:r w:rsidRPr="0094154C">
        <w:rPr>
          <w:rFonts w:ascii="Arial" w:hAnsi="Arial" w:cs="Arial"/>
          <w:sz w:val="24"/>
          <w:szCs w:val="24"/>
        </w:rPr>
        <w:t>0%)</w:t>
      </w:r>
      <w:r w:rsidRPr="0094154C">
        <w:rPr>
          <w:rFonts w:ascii="Arial" w:hAnsi="Arial" w:cs="Arial"/>
          <w:b/>
          <w:sz w:val="24"/>
          <w:szCs w:val="24"/>
        </w:rPr>
        <w:t xml:space="preserve"> </w:t>
      </w:r>
      <w:r w:rsidRPr="0094154C">
        <w:rPr>
          <w:rFonts w:ascii="Arial" w:hAnsi="Arial" w:cs="Arial"/>
          <w:sz w:val="24"/>
          <w:szCs w:val="24"/>
        </w:rPr>
        <w:t>–</w:t>
      </w:r>
      <w:r w:rsidRPr="0094154C">
        <w:rPr>
          <w:rFonts w:ascii="Arial" w:hAnsi="Arial" w:cs="Arial"/>
          <w:b/>
          <w:sz w:val="24"/>
          <w:szCs w:val="24"/>
        </w:rPr>
        <w:t xml:space="preserve"> </w:t>
      </w:r>
      <w:r w:rsidRPr="0094154C">
        <w:rPr>
          <w:rFonts w:ascii="Arial" w:hAnsi="Arial" w:cs="Arial"/>
          <w:sz w:val="24"/>
          <w:szCs w:val="24"/>
        </w:rPr>
        <w:t>усне опитування, тестування, індивідуальне навчально-дослідне завдання;</w:t>
      </w:r>
    </w:p>
    <w:p w:rsidR="009C79EE" w:rsidRPr="0094154C" w:rsidRDefault="009C79EE" w:rsidP="009C79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4154C">
        <w:rPr>
          <w:rFonts w:ascii="Arial" w:hAnsi="Arial" w:cs="Arial"/>
          <w:sz w:val="24"/>
          <w:szCs w:val="24"/>
        </w:rPr>
        <w:t>Під</w:t>
      </w:r>
      <w:r>
        <w:rPr>
          <w:rFonts w:ascii="Arial" w:hAnsi="Arial" w:cs="Arial"/>
          <w:sz w:val="24"/>
          <w:szCs w:val="24"/>
        </w:rPr>
        <w:t>сумковий контроль (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0%) – залік</w:t>
      </w:r>
      <w:r w:rsidRPr="0094154C">
        <w:rPr>
          <w:rFonts w:ascii="Arial" w:hAnsi="Arial" w:cs="Arial"/>
          <w:sz w:val="24"/>
          <w:szCs w:val="24"/>
        </w:rPr>
        <w:t xml:space="preserve"> (теоретичні питання, задачі, тестові завдання).</w:t>
      </w:r>
    </w:p>
    <w:p w:rsidR="009C79EE" w:rsidRDefault="009C79EE" w:rsidP="009C79E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C03C8">
        <w:rPr>
          <w:rFonts w:ascii="Arial" w:hAnsi="Arial" w:cs="Arial"/>
          <w:b/>
          <w:sz w:val="24"/>
          <w:szCs w:val="24"/>
        </w:rPr>
        <w:t xml:space="preserve">Мова навчання: </w:t>
      </w:r>
      <w:r w:rsidRPr="00AC03C8">
        <w:rPr>
          <w:rFonts w:ascii="Arial" w:hAnsi="Arial" w:cs="Arial"/>
          <w:sz w:val="24"/>
          <w:szCs w:val="24"/>
        </w:rPr>
        <w:t>українська</w:t>
      </w:r>
      <w:r w:rsidRPr="00AC03C8">
        <w:rPr>
          <w:rFonts w:ascii="Arial" w:hAnsi="Arial" w:cs="Arial"/>
        </w:rPr>
        <w:t xml:space="preserve">.  </w:t>
      </w:r>
    </w:p>
    <w:p w:rsidR="00AA3D84" w:rsidRDefault="00AA3D84"/>
    <w:sectPr w:rsidR="00AA3D84" w:rsidSect="004F2B87">
      <w:pgSz w:w="11906" w:h="16838"/>
      <w:pgMar w:top="851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C9F"/>
    <w:multiLevelType w:val="hybridMultilevel"/>
    <w:tmpl w:val="4EA09DF8"/>
    <w:lvl w:ilvl="0" w:tplc="DF00925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2A26E0"/>
    <w:multiLevelType w:val="hybridMultilevel"/>
    <w:tmpl w:val="8EACE136"/>
    <w:lvl w:ilvl="0" w:tplc="71100A3E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39740B"/>
    <w:multiLevelType w:val="hybridMultilevel"/>
    <w:tmpl w:val="00D2EA36"/>
    <w:lvl w:ilvl="0" w:tplc="E71A7996">
      <w:numFmt w:val="bullet"/>
      <w:lvlText w:val="–"/>
      <w:lvlJc w:val="left"/>
      <w:pPr>
        <w:ind w:left="1474" w:hanging="360"/>
      </w:pPr>
      <w:rPr>
        <w:rFonts w:ascii="Arial" w:eastAsia="Times New Roman" w:hAnsi="Aria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>
    <w:nsid w:val="7A1C54A4"/>
    <w:multiLevelType w:val="singleLevel"/>
    <w:tmpl w:val="A2984F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C79EE"/>
    <w:rsid w:val="000703E3"/>
    <w:rsid w:val="000E3EF2"/>
    <w:rsid w:val="004C21DC"/>
    <w:rsid w:val="004F2B87"/>
    <w:rsid w:val="00934438"/>
    <w:rsid w:val="009C79EE"/>
    <w:rsid w:val="00AA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EE"/>
    <w:pPr>
      <w:spacing w:after="200" w:line="276" w:lineRule="auto"/>
    </w:pPr>
    <w:rPr>
      <w:rFonts w:ascii="Calibri" w:eastAsia="Times New Roman" w:hAnsi="Calibri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9EE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9C79EE"/>
    <w:rPr>
      <w:rFonts w:ascii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C79EE"/>
    <w:pPr>
      <w:widowControl w:val="0"/>
      <w:shd w:val="clear" w:color="auto" w:fill="FFFFFF"/>
      <w:spacing w:before="1020" w:after="60" w:line="288" w:lineRule="exact"/>
      <w:outlineLvl w:val="2"/>
    </w:pPr>
    <w:rPr>
      <w:rFonts w:ascii="Arial" w:eastAsiaTheme="minorHAnsi" w:hAnsi="Arial" w:cs="Arial"/>
      <w:b/>
      <w:bCs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>Home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5</cp:revision>
  <dcterms:created xsi:type="dcterms:W3CDTF">2018-05-02T11:58:00Z</dcterms:created>
  <dcterms:modified xsi:type="dcterms:W3CDTF">2018-05-04T10:54:00Z</dcterms:modified>
</cp:coreProperties>
</file>